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María de las Mercedes Reitano es Profesora y Licenciada en Historia de las artes Plásticas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por la Universidad Nacional de La Plata. Doctora en Historia del Arte por l’Université de Paris Pantheon-Sorbonne. Rectora de la Universidad del Este, La Plata.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Profesora adjunta de la cátedra Historia de los Medios y sistemas de comunicación Social 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Profesora titular de la materia Gestión Cultural de la Facultad de Bellas Artes de la UNLP.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Profesora titular de la materia Crítica y estética especializada 1, en la UNA.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Directora del MACLA, Museo de Arte Contemporáneo Latinoamericano de La Plata.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Docente investigadora en ambas universidades. Evaluadora y capacitadora en proyectos de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extensión universitaria por la Secretaría de Políticas Universitarias, Ministerio de Educación dela Nación. Curadora independiente.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